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47</w:t>
            </w:r>
          </w:p>
        </w:tc>
      </w:tr>
    </w:tbl>
    <w:p w:rsidR="0058148E" w:rsidRPr="006B2319" w:rsidRDefault="0058148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A42DF" w:rsidRPr="00142C9B" w:rsidTr="00055D05">
        <w:tc>
          <w:tcPr>
            <w:tcW w:w="2972" w:type="dxa"/>
          </w:tcPr>
          <w:p w:rsidR="006A42DF" w:rsidRPr="00142C9B" w:rsidRDefault="006A42DF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6A42DF" w:rsidRPr="001C4502" w:rsidRDefault="006A42DF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6A42DF" w:rsidRPr="002F4437" w:rsidTr="00055D05">
        <w:tc>
          <w:tcPr>
            <w:tcW w:w="2972" w:type="dxa"/>
            <w:vAlign w:val="center"/>
          </w:tcPr>
          <w:p w:rsidR="006A42DF" w:rsidRPr="00E57835" w:rsidRDefault="006A42DF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6A42DF" w:rsidRPr="001C4502" w:rsidRDefault="006A42DF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055D05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543FBE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543FBE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543FBE">
              <w:rPr>
                <w:sz w:val="21"/>
                <w:szCs w:val="21"/>
              </w:rPr>
              <w:t> </w:t>
            </w:r>
          </w:p>
        </w:tc>
      </w:tr>
      <w:tr w:rsidR="00D05224" w:rsidRPr="002F4437" w:rsidTr="00055D05">
        <w:tc>
          <w:tcPr>
            <w:tcW w:w="2972" w:type="dxa"/>
            <w:vAlign w:val="center"/>
          </w:tcPr>
          <w:p w:rsidR="00D05224" w:rsidRPr="00FD5819" w:rsidRDefault="00D05224" w:rsidP="00D05224">
            <w:pPr>
              <w:rPr>
                <w:b/>
                <w:sz w:val="21"/>
                <w:szCs w:val="21"/>
              </w:rPr>
            </w:pPr>
            <w:r w:rsidRPr="00FD5819">
              <w:rPr>
                <w:b/>
                <w:sz w:val="21"/>
                <w:szCs w:val="21"/>
              </w:rPr>
              <w:t>COMPONENTE</w:t>
            </w:r>
            <w:r w:rsidR="00ED75E6" w:rsidRPr="00FD5819">
              <w:rPr>
                <w:b/>
                <w:sz w:val="21"/>
                <w:szCs w:val="21"/>
              </w:rPr>
              <w:t xml:space="preserve"> VI.5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Culturales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055D05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47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culturales disponibles para todos los estudiantes para su participación y desarrollo del mismo.</w:t>
            </w:r>
          </w:p>
        </w:tc>
      </w:tr>
    </w:tbl>
    <w:tbl>
      <w:tblPr>
        <w:tblStyle w:val="Tablaconcuadrcula"/>
        <w:tblpPr w:leftFromText="141" w:rightFromText="141" w:vertAnchor="text" w:horzAnchor="margin" w:tblpY="294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055D05" w:rsidRPr="002F4437" w:rsidTr="00F6425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055D05" w:rsidRPr="006B2319" w:rsidRDefault="00055D05" w:rsidP="00020E8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055D05" w:rsidRPr="002F4437" w:rsidTr="00692979">
        <w:trPr>
          <w:trHeight w:val="291"/>
        </w:trPr>
        <w:tc>
          <w:tcPr>
            <w:tcW w:w="10470" w:type="dxa"/>
            <w:shd w:val="clear" w:color="auto" w:fill="auto"/>
            <w:vAlign w:val="center"/>
          </w:tcPr>
          <w:p w:rsidR="00055D05" w:rsidRPr="006B2319" w:rsidRDefault="00055D05" w:rsidP="00020E8D">
            <w:pPr>
              <w:pStyle w:val="Prrafodelista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1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055D05" w:rsidRPr="006B2319" w:rsidRDefault="00055D05" w:rsidP="00020E8D">
            <w:pPr>
              <w:pStyle w:val="Prrafodelista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2201A9" w:rsidRDefault="002201A9" w:rsidP="002201A9">
      <w:pPr>
        <w:rPr>
          <w:sz w:val="21"/>
          <w:szCs w:val="21"/>
        </w:rPr>
      </w:pPr>
    </w:p>
    <w:p w:rsidR="00055D05" w:rsidRPr="006B2319" w:rsidRDefault="00055D05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01A9" w:rsidRPr="002F4437" w:rsidTr="00F6425F">
        <w:tc>
          <w:tcPr>
            <w:tcW w:w="10485" w:type="dxa"/>
            <w:shd w:val="clear" w:color="auto" w:fill="FFFFFF" w:themeFill="background1"/>
          </w:tcPr>
          <w:p w:rsidR="002201A9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2201A9" w:rsidRPr="002F4437" w:rsidTr="00020E8D">
        <w:trPr>
          <w:trHeight w:val="2494"/>
        </w:trPr>
        <w:tc>
          <w:tcPr>
            <w:tcW w:w="10485" w:type="dxa"/>
            <w:vAlign w:val="center"/>
          </w:tcPr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culturales.</w:t>
            </w:r>
          </w:p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724400" w:rsidRPr="006B2319" w:rsidRDefault="00724400" w:rsidP="00805AC0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8451D5" w:rsidRPr="006B2319" w:rsidRDefault="008451D5" w:rsidP="00805A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 w:rsidR="00055D05">
              <w:rPr>
                <w:sz w:val="21"/>
                <w:szCs w:val="21"/>
              </w:rPr>
              <w:t>1</w:t>
            </w:r>
          </w:p>
          <w:p w:rsidR="007C0657" w:rsidRPr="00C0732F" w:rsidRDefault="002201A9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El presupuesto del servicio debe incluir todas las filiales de la </w:t>
            </w:r>
            <w:r w:rsidR="008352A0" w:rsidRPr="006B2319">
              <w:rPr>
                <w:sz w:val="21"/>
                <w:szCs w:val="21"/>
              </w:rPr>
              <w:t>universidad.</w:t>
            </w:r>
            <w:r w:rsidR="008352A0" w:rsidRPr="00C0732F">
              <w:rPr>
                <w:sz w:val="21"/>
                <w:szCs w:val="21"/>
              </w:rPr>
              <w:t xml:space="preserve"> El</w:t>
            </w:r>
            <w:r w:rsidR="007C0657" w:rsidRPr="00C0732F">
              <w:rPr>
                <w:sz w:val="21"/>
                <w:szCs w:val="21"/>
              </w:rPr>
              <w:t xml:space="preserve">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8451D5" w:rsidRPr="006B2319" w:rsidRDefault="008451D5" w:rsidP="00805A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</w:p>
          <w:p w:rsidR="002201A9" w:rsidRPr="00366E07" w:rsidRDefault="002201A9" w:rsidP="00805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2201A9" w:rsidRDefault="002201A9" w:rsidP="009B72A0">
      <w:pPr>
        <w:spacing w:after="0"/>
        <w:rPr>
          <w:sz w:val="21"/>
          <w:szCs w:val="21"/>
        </w:rPr>
      </w:pPr>
    </w:p>
    <w:p w:rsidR="00044179" w:rsidRDefault="00044179" w:rsidP="00044179">
      <w:pPr>
        <w:spacing w:after="0" w:line="240" w:lineRule="auto"/>
        <w:jc w:val="both"/>
      </w:pPr>
      <w:r>
        <w:t xml:space="preserve">El MV1 debe presentarse </w:t>
      </w:r>
      <w:r w:rsidR="00F54AB3">
        <w:t xml:space="preserve">en la solicitud en físico y en formato </w:t>
      </w:r>
      <w:r w:rsidR="008352A0">
        <w:t>digital conforme</w:t>
      </w:r>
      <w:r>
        <w:t xml:space="preserve"> las siguientes tablas, según corresponda:</w:t>
      </w:r>
    </w:p>
    <w:p w:rsidR="00044179" w:rsidRDefault="00044179" w:rsidP="00044179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405"/>
        <w:gridCol w:w="5387"/>
        <w:gridCol w:w="2693"/>
      </w:tblGrid>
      <w:tr w:rsidR="00044179" w:rsidRPr="00142C9B" w:rsidTr="009B72A0">
        <w:trPr>
          <w:trHeight w:val="26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44179" w:rsidRPr="00BE3A52" w:rsidRDefault="0004417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020E8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44179" w:rsidRPr="00BE3A52" w:rsidRDefault="00480C64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044179" w:rsidRPr="00BE3A52" w:rsidRDefault="001244CE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044179" w:rsidRPr="00BE3A52">
              <w:rPr>
                <w:b/>
                <w:sz w:val="18"/>
                <w:szCs w:val="18"/>
              </w:rPr>
              <w:t xml:space="preserve"> folios</w:t>
            </w:r>
            <w:r w:rsidR="00044179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20E8D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044179" w:rsidRPr="00142C9B" w:rsidTr="009B72A0">
        <w:trPr>
          <w:trHeight w:val="7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44179" w:rsidRPr="00142C9B" w:rsidRDefault="00790AB3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387" w:type="dxa"/>
            <w:vAlign w:val="center"/>
          </w:tcPr>
          <w:p w:rsidR="00044179" w:rsidRPr="00142C9B" w:rsidRDefault="00935E21" w:rsidP="00935E21">
            <w:pPr>
              <w:rPr>
                <w:sz w:val="21"/>
                <w:szCs w:val="21"/>
              </w:rPr>
            </w:pPr>
            <w:r w:rsidRPr="008352A0">
              <w:rPr>
                <w:sz w:val="21"/>
                <w:szCs w:val="21"/>
              </w:rPr>
              <w:t>MENSUALIZACIÓN DEL PRESUPUESTO INSTITUCIONAL 2016</w:t>
            </w:r>
            <w:r w:rsidR="007A5CF2">
              <w:rPr>
                <w:sz w:val="21"/>
                <w:szCs w:val="21"/>
              </w:rPr>
              <w:t xml:space="preserve">.   </w:t>
            </w:r>
            <w:hyperlink r:id="rId8" w:history="1">
              <w:r w:rsidR="007A5CF2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693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44179" w:rsidRPr="00142C9B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044179" w:rsidRPr="00142C9B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</w:t>
      </w:r>
      <w:r w:rsidR="005446C2" w:rsidRPr="00142C9B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142C9B">
        <w:rPr>
          <w:sz w:val="16"/>
          <w:szCs w:val="16"/>
        </w:rPr>
        <w:t>.</w:t>
      </w:r>
    </w:p>
    <w:p w:rsidR="00044179" w:rsidRPr="0088742E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044179" w:rsidRDefault="00044179" w:rsidP="009B72A0">
      <w:pPr>
        <w:spacing w:after="0"/>
        <w:rPr>
          <w:sz w:val="21"/>
          <w:szCs w:val="21"/>
        </w:rPr>
      </w:pPr>
    </w:p>
    <w:p w:rsidR="00044179" w:rsidRDefault="00044179" w:rsidP="00044179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MV2 debe presentarse </w:t>
      </w:r>
      <w:r w:rsidR="00F54AB3">
        <w:rPr>
          <w:sz w:val="21"/>
          <w:szCs w:val="21"/>
        </w:rPr>
        <w:t xml:space="preserve">en la solicitud en físico y en formato </w:t>
      </w:r>
      <w:r w:rsidR="008352A0">
        <w:rPr>
          <w:sz w:val="21"/>
          <w:szCs w:val="21"/>
        </w:rPr>
        <w:t>digital</w:t>
      </w:r>
      <w:r w:rsidR="008352A0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 por filial:</w:t>
      </w:r>
    </w:p>
    <w:p w:rsidR="005006DA" w:rsidRPr="00A34C8C" w:rsidRDefault="005006DA" w:rsidP="00044179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668"/>
        <w:gridCol w:w="1701"/>
        <w:gridCol w:w="5131"/>
        <w:gridCol w:w="1956"/>
      </w:tblGrid>
      <w:tr w:rsidR="00044179" w:rsidRPr="00142C9B" w:rsidTr="00935E21">
        <w:trPr>
          <w:trHeight w:val="462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8D06F8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4179" w:rsidRPr="00BE3A52" w:rsidRDefault="0004417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131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8D06F8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044179" w:rsidRPr="00BE3A52" w:rsidRDefault="006240EA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044179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D06F8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044179" w:rsidRPr="00142C9B" w:rsidTr="00935E21">
        <w:trPr>
          <w:trHeight w:val="70"/>
        </w:trPr>
        <w:tc>
          <w:tcPr>
            <w:tcW w:w="1668" w:type="dxa"/>
            <w:vAlign w:val="center"/>
          </w:tcPr>
          <w:p w:rsidR="00044179" w:rsidRPr="00142C9B" w:rsidDel="00993FB9" w:rsidRDefault="00935E21" w:rsidP="00935E21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4179" w:rsidRPr="00142C9B" w:rsidRDefault="00E12B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131" w:type="dxa"/>
            <w:vAlign w:val="center"/>
          </w:tcPr>
          <w:p w:rsidR="00044179" w:rsidRPr="00142C9B" w:rsidRDefault="00935E21" w:rsidP="00935E21">
            <w:pPr>
              <w:jc w:val="both"/>
              <w:rPr>
                <w:sz w:val="21"/>
                <w:szCs w:val="21"/>
              </w:rPr>
            </w:pPr>
            <w:r w:rsidRPr="00935E21">
              <w:rPr>
                <w:sz w:val="21"/>
                <w:szCs w:val="21"/>
              </w:rPr>
              <w:t>CONTRATOS PARA LA PRESTACIÓN DE SERVICIOS CULTURALES Y RESOLUCIONES</w:t>
            </w:r>
            <w:r w:rsidR="007A5CF2">
              <w:rPr>
                <w:sz w:val="21"/>
                <w:szCs w:val="21"/>
              </w:rPr>
              <w:t xml:space="preserve">  </w:t>
            </w:r>
            <w:r w:rsidR="007A5CF2">
              <w:rPr>
                <w:sz w:val="21"/>
                <w:szCs w:val="21"/>
              </w:rPr>
              <w:t xml:space="preserve"> </w:t>
            </w:r>
            <w:hyperlink r:id="rId9" w:history="1">
              <w:r w:rsidR="007A5CF2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44179" w:rsidRPr="00A2324C" w:rsidRDefault="00044179" w:rsidP="00044179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044179" w:rsidRPr="00A2324C" w:rsidRDefault="006E39C1" w:rsidP="00044179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044179" w:rsidRPr="00A2324C">
        <w:rPr>
          <w:sz w:val="16"/>
          <w:szCs w:val="16"/>
        </w:rPr>
        <w:t>Los código(s) de filial(es) según formato</w:t>
      </w:r>
      <w:r w:rsidR="00790AB3">
        <w:rPr>
          <w:sz w:val="16"/>
          <w:szCs w:val="16"/>
        </w:rPr>
        <w:t xml:space="preserve"> de licenciamiento</w:t>
      </w:r>
      <w:r w:rsidR="00044179" w:rsidRPr="00A2324C">
        <w:rPr>
          <w:sz w:val="16"/>
          <w:szCs w:val="16"/>
        </w:rPr>
        <w:t xml:space="preserve"> A2</w:t>
      </w:r>
      <w:r w:rsidR="00E12B84">
        <w:rPr>
          <w:sz w:val="16"/>
          <w:szCs w:val="16"/>
        </w:rPr>
        <w:t>,</w:t>
      </w:r>
      <w:r w:rsidR="005446C2" w:rsidRPr="00A2324C">
        <w:rPr>
          <w:sz w:val="16"/>
          <w:szCs w:val="16"/>
        </w:rPr>
        <w:t>son,</w:t>
      </w:r>
      <w:r w:rsidR="00044179" w:rsidRPr="00A2324C">
        <w:rPr>
          <w:sz w:val="16"/>
          <w:szCs w:val="16"/>
        </w:rPr>
        <w:t xml:space="preserve"> por ejemplo: F01</w:t>
      </w:r>
    </w:p>
    <w:p w:rsidR="00044179" w:rsidRPr="006B2319" w:rsidRDefault="00044179" w:rsidP="00044179">
      <w:pPr>
        <w:rPr>
          <w:sz w:val="21"/>
          <w:szCs w:val="21"/>
        </w:rPr>
      </w:pPr>
      <w:r>
        <w:rPr>
          <w:sz w:val="16"/>
          <w:szCs w:val="16"/>
        </w:rPr>
        <w:t>Agregar las filas en función al número de filiales de la universidad.</w:t>
      </w:r>
    </w:p>
    <w:p w:rsidR="001505BD" w:rsidRDefault="001505BD" w:rsidP="002201A9">
      <w:pPr>
        <w:spacing w:after="0"/>
        <w:jc w:val="both"/>
        <w:rPr>
          <w:sz w:val="21"/>
          <w:szCs w:val="21"/>
        </w:rPr>
      </w:pPr>
    </w:p>
    <w:p w:rsidR="001505BD" w:rsidRDefault="001505BD" w:rsidP="002201A9">
      <w:pPr>
        <w:spacing w:after="0"/>
        <w:jc w:val="both"/>
        <w:rPr>
          <w:sz w:val="21"/>
          <w:szCs w:val="21"/>
        </w:rPr>
      </w:pPr>
    </w:p>
    <w:p w:rsidR="007C2C03" w:rsidRDefault="007C2C03" w:rsidP="002201A9">
      <w:pPr>
        <w:spacing w:after="0"/>
        <w:jc w:val="both"/>
        <w:rPr>
          <w:sz w:val="21"/>
          <w:szCs w:val="21"/>
        </w:rPr>
      </w:pPr>
    </w:p>
    <w:p w:rsidR="007C2C03" w:rsidRDefault="007C2C03" w:rsidP="002201A9">
      <w:pPr>
        <w:spacing w:after="0"/>
        <w:jc w:val="both"/>
        <w:rPr>
          <w:sz w:val="21"/>
          <w:szCs w:val="21"/>
        </w:rPr>
      </w:pPr>
    </w:p>
    <w:p w:rsidR="00E10DEC" w:rsidRDefault="00E10DEC" w:rsidP="002201A9">
      <w:pPr>
        <w:spacing w:after="0"/>
        <w:jc w:val="both"/>
        <w:rPr>
          <w:sz w:val="21"/>
          <w:szCs w:val="21"/>
        </w:rPr>
      </w:pPr>
    </w:p>
    <w:p w:rsidR="00E10DEC" w:rsidRDefault="00E10DEC" w:rsidP="002201A9">
      <w:pPr>
        <w:spacing w:after="0"/>
        <w:jc w:val="both"/>
        <w:rPr>
          <w:sz w:val="21"/>
          <w:szCs w:val="21"/>
        </w:rPr>
      </w:pPr>
    </w:p>
    <w:p w:rsidR="00D9267B" w:rsidRDefault="00D9267B" w:rsidP="002201A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56294F" w:rsidRDefault="0058148E" w:rsidP="0056294F">
            <w:pPr>
              <w:jc w:val="both"/>
              <w:rPr>
                <w:sz w:val="21"/>
                <w:szCs w:val="21"/>
              </w:rPr>
            </w:pPr>
          </w:p>
          <w:p w:rsidR="0058148E" w:rsidRPr="0056294F" w:rsidRDefault="0058148E" w:rsidP="0056294F">
            <w:pPr>
              <w:jc w:val="both"/>
              <w:rPr>
                <w:sz w:val="21"/>
                <w:szCs w:val="21"/>
              </w:rPr>
            </w:pPr>
          </w:p>
          <w:p w:rsidR="0058148E" w:rsidRPr="0056294F" w:rsidRDefault="00935E21" w:rsidP="0056294F">
            <w:pPr>
              <w:jc w:val="both"/>
              <w:rPr>
                <w:sz w:val="21"/>
                <w:szCs w:val="21"/>
              </w:rPr>
            </w:pPr>
            <w:r w:rsidRPr="0056294F">
              <w:rPr>
                <w:sz w:val="21"/>
                <w:szCs w:val="21"/>
              </w:rPr>
              <w:t xml:space="preserve">La dependencia encargada de los servicios culturales es la </w:t>
            </w:r>
            <w:r w:rsidR="0056294F" w:rsidRPr="0056294F">
              <w:rPr>
                <w:sz w:val="21"/>
                <w:szCs w:val="21"/>
              </w:rPr>
              <w:t xml:space="preserve">Oficina General de Proyección Social, </w:t>
            </w:r>
            <w:r w:rsidR="0056294F">
              <w:rPr>
                <w:sz w:val="21"/>
                <w:szCs w:val="21"/>
              </w:rPr>
              <w:t>é</w:t>
            </w:r>
            <w:r w:rsidR="0056294F" w:rsidRPr="0056294F">
              <w:rPr>
                <w:sz w:val="21"/>
                <w:szCs w:val="21"/>
              </w:rPr>
              <w:t>sta, coordina con las Unidades de Proyección Social de la distintas Facultades de la UNSCH</w:t>
            </w:r>
            <w:r w:rsidR="0056294F">
              <w:rPr>
                <w:sz w:val="21"/>
                <w:szCs w:val="21"/>
              </w:rPr>
              <w:t>, para la organización de distintos eventos culturales que tenga la institució</w:t>
            </w:r>
            <w:r w:rsidR="007A5CF2">
              <w:rPr>
                <w:sz w:val="21"/>
                <w:szCs w:val="21"/>
              </w:rPr>
              <w:t>n</w:t>
            </w:r>
            <w:bookmarkStart w:id="0" w:name="_GoBack"/>
            <w:bookmarkEnd w:id="0"/>
          </w:p>
          <w:p w:rsidR="0058148E" w:rsidRPr="0056294F" w:rsidRDefault="0058148E" w:rsidP="0056294F">
            <w:pPr>
              <w:jc w:val="both"/>
              <w:rPr>
                <w:sz w:val="21"/>
                <w:szCs w:val="21"/>
              </w:rPr>
            </w:pPr>
          </w:p>
          <w:p w:rsidR="0058148E" w:rsidRPr="0056294F" w:rsidRDefault="0058148E" w:rsidP="0056294F">
            <w:pPr>
              <w:jc w:val="both"/>
              <w:rPr>
                <w:sz w:val="21"/>
                <w:szCs w:val="21"/>
              </w:rPr>
            </w:pPr>
          </w:p>
        </w:tc>
      </w:tr>
    </w:tbl>
    <w:p w:rsidR="0058148E" w:rsidRPr="006B2319" w:rsidRDefault="00B12B8F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0;margin-top:11.9pt;width:522.75pt;height:47.25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MT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J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zn7Nc3wAAAAgBAAAPAAAAZHJzL2Rvd25yZXYu&#10;eG1sTI/BTsMwEETvSPyDtUhcUOu0aUsIcSqEBKI3aBFc3XibRMTrYLtp+Hu2J7jNalYzb4r1aDsx&#10;oA+tIwWzaQICqXKmpVrB++5pkoEIUZPRnSNU8IMB1uXlRaFz4070hsM21oJDKORaQRNjn0sZqgat&#10;DlPXI7F3cN7qyKevpfH6xOG2k/MkWUmrW+KGRvf42GD1tT1aBdniZfgMm/T1o1odurt4czs8f3ul&#10;rq/Gh3sQEcf49wxnfEaHkpn27kgmiE4BD4kK5inzn91ksVyC2LOaZSnIspD/B5S/AAAA//8DAFBL&#10;AQItABQABgAIAAAAIQC2gziS/gAAAOEBAAATAAAAAAAAAAAAAAAAAAAAAABbQ29udGVudF9UeXBl&#10;c10ueG1sUEsBAi0AFAAGAAgAAAAhADj9If/WAAAAlAEAAAsAAAAAAAAAAAAAAAAALwEAAF9yZWxz&#10;Ly5yZWxzUEsBAi0AFAAGAAgAAAAhAMOz4xMpAgAATQQAAA4AAAAAAAAAAAAAAAAALgIAAGRycy9l&#10;Mm9Eb2MueG1sUEsBAi0AFAAGAAgAAAAhAPOfs1zfAAAACAEAAA8AAAAAAAAAAAAAAAAAgwQAAGRy&#10;cy9kb3ducmV2LnhtbFBLBQYAAAAABAAEAPMAAACPBQAAAAA=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sectPr w:rsidR="0058148E" w:rsidRPr="006B231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CF" w:rsidRDefault="003408CF" w:rsidP="00771AC6">
      <w:pPr>
        <w:spacing w:after="0" w:line="240" w:lineRule="auto"/>
      </w:pPr>
      <w:r>
        <w:separator/>
      </w:r>
    </w:p>
  </w:endnote>
  <w:endnote w:type="continuationSeparator" w:id="0">
    <w:p w:rsidR="003408CF" w:rsidRDefault="003408C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CF" w:rsidRDefault="003408CF" w:rsidP="00771AC6">
      <w:pPr>
        <w:spacing w:after="0" w:line="240" w:lineRule="auto"/>
      </w:pPr>
      <w:r>
        <w:separator/>
      </w:r>
    </w:p>
  </w:footnote>
  <w:footnote w:type="continuationSeparator" w:id="0">
    <w:p w:rsidR="003408CF" w:rsidRDefault="003408C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2090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408CF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46C2"/>
    <w:rsid w:val="00547A38"/>
    <w:rsid w:val="0056294F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2DF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5CF2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7F2BFF"/>
    <w:rsid w:val="00800AC4"/>
    <w:rsid w:val="00800D84"/>
    <w:rsid w:val="00801D9D"/>
    <w:rsid w:val="00802CE1"/>
    <w:rsid w:val="00805AC0"/>
    <w:rsid w:val="008150C2"/>
    <w:rsid w:val="00822E78"/>
    <w:rsid w:val="008241B1"/>
    <w:rsid w:val="008352A0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C4B92"/>
    <w:rsid w:val="008D06F8"/>
    <w:rsid w:val="008D2800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35E21"/>
    <w:rsid w:val="00942884"/>
    <w:rsid w:val="0096300B"/>
    <w:rsid w:val="00972D9A"/>
    <w:rsid w:val="00993FB9"/>
    <w:rsid w:val="009A0537"/>
    <w:rsid w:val="009A2499"/>
    <w:rsid w:val="009A4C64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1196"/>
    <w:rsid w:val="00E52094"/>
    <w:rsid w:val="00E63688"/>
    <w:rsid w:val="00E83F3B"/>
    <w:rsid w:val="00E91148"/>
    <w:rsid w:val="00E91AE6"/>
    <w:rsid w:val="00E93CD8"/>
    <w:rsid w:val="00E966C1"/>
    <w:rsid w:val="00EA318A"/>
    <w:rsid w:val="00EA58A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632B90D"/>
  <w15:docId w15:val="{7479F6D3-581F-4391-8986-A301AE8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A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/Indicador%2047/MV1.%20Mensualizaci&#243;n%20del%20Presupuesto%20Institucional%20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/Indicador%2047/MV2.%20Contratos%20para%20la%20prestaci&#243;n%20de%20servicios%20culturales%20y%20Resolucion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55</cp:revision>
  <cp:lastPrinted>2015-11-27T00:15:00Z</cp:lastPrinted>
  <dcterms:created xsi:type="dcterms:W3CDTF">2015-12-01T14:53:00Z</dcterms:created>
  <dcterms:modified xsi:type="dcterms:W3CDTF">2017-10-20T00:35:00Z</dcterms:modified>
</cp:coreProperties>
</file>